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145F2F58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8568DB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10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D8F35F9" w14:textId="509143FE" w:rsidR="001150EA" w:rsidRDefault="008568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1.3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</w:t>
            </w:r>
            <w:r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temporaneo e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tazioni di posta per le persone senza dimora</w:t>
            </w:r>
          </w:p>
          <w:p w14:paraId="6704FEC1" w14:textId="1DC342A6" w:rsidR="008568DB" w:rsidRPr="00B41C3F" w:rsidRDefault="008568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Sub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1.3.1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 First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84FE2" w14:textId="26463F46" w:rsidR="00597A4D" w:rsidRPr="00B41C3F" w:rsidRDefault="001150EA" w:rsidP="00597A4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10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8568DB"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3 - </w:t>
            </w:r>
            <w:r w:rsidR="008568DB"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 First</w:t>
            </w:r>
            <w:r w:rsidR="008568DB"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(innanzitutto la casa) e stazioni di posta</w:t>
            </w:r>
          </w:p>
          <w:p w14:paraId="797151AC" w14:textId="7F84944D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62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9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CB1FA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CB1FA4">
        <w:trPr>
          <w:trHeight w:val="1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42EFC5F9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definito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059A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ttestazione di completamento delle attività </w:t>
            </w:r>
            <w:r w:rsidR="00D64C6D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d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el progetto personalizzato</w:t>
            </w:r>
            <w:r w:rsidR="007059A7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il </w:t>
            </w:r>
            <w:r w:rsidR="00BD3AB9"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A203" w14:textId="77777777" w:rsidR="00D64740" w:rsidRDefault="00065E7B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67C6B25" w14:textId="08E742E5" w:rsidR="00001E8D" w:rsidRPr="00E02355" w:rsidRDefault="00E068CA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compilazione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 </w:t>
            </w:r>
            <w:r w:rsidRPr="00D64C6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CB1FA4">
        <w:trPr>
          <w:trHeight w:val="2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4A4CB" w14:textId="06DE945B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ttestazione di completamento delle attività </w:t>
            </w:r>
            <w:r w:rsidR="00D64C6D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d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dal:</w:t>
            </w:r>
          </w:p>
          <w:p w14:paraId="740454F8" w14:textId="77777777" w:rsidR="00D64C6D" w:rsidRDefault="00D64740" w:rsidP="00D64C6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1) 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beneficiario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</w:p>
          <w:p w14:paraId="192A104C" w14:textId="76FFE2F0" w:rsidR="00D64740" w:rsidRPr="002313F4" w:rsidRDefault="00D64740" w:rsidP="00D64C6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2)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legale rappresentante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o altro soggetto da quest’ultimo delegato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33419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B1688F9" w14:textId="1968C51D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sottoscrizioni contenute nell’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completamento delle attività 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progetto personalizzato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CB1FA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055EB89E" w:rsidR="00D64740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ttestazione di completamento delle attività </w:t>
            </w:r>
            <w:r w:rsidR="00A10C9F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d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0776E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AA81919" w14:textId="2952CB66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 dell’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completamento delle attività </w:t>
            </w:r>
            <w:r w:rsidR="00A10C9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progetto personalizzato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1134A9F" w14:textId="77777777" w:rsidTr="00CD5338">
        <w:trPr>
          <w:trHeight w:val="454"/>
        </w:trPr>
        <w:tc>
          <w:tcPr>
            <w:tcW w:w="14459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E2F3" w:themeFill="accent1" w:themeFillTint="33"/>
            <w:vAlign w:val="center"/>
          </w:tcPr>
          <w:p w14:paraId="5697F978" w14:textId="11BE330D" w:rsidR="00D64740" w:rsidRPr="00AE79E6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79E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Rispondere ad almeno uno dei seguenti punti di controllo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2 o 2.</w:t>
            </w:r>
            <w:r w:rsidR="00B5470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4F079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61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14:paraId="1F4A5107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EED254A" w14:textId="77777777" w:rsidTr="00CB1FA4">
        <w:trPr>
          <w:trHeight w:val="2608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4F3B5" w14:textId="4F9D4DB9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6447E" w14:textId="6936D198" w:rsidR="00D64740" w:rsidRDefault="004F0793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beneficiario ai fini del raggiungimento del </w:t>
            </w:r>
            <w:r w:rsidRPr="00B5470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M5C2-10, in scadenza al Q1 2026, è stato preso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come “beneficiario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 servizi abitativi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immesso nella disponibilità di un alloggio temporaneo per la durata di almeno 6 mesi così come previsto dalla </w:t>
            </w:r>
            <w:r w:rsidRPr="00B5470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dall’Avviso n.1</w:t>
            </w:r>
            <w:r w:rsidR="00B547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E522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FE8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B891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7F1FA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F8DD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4FB210B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B6BF150" w14:textId="30CEE566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1CC0C12" w14:textId="1E2385F2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0C9DF46" w14:textId="5B3523D7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proofErr w:type="spellStart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B87419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5066B63" w14:textId="77777777" w:rsidTr="00CB1FA4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1E343" w14:textId="44EA45D1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85D80" w14:textId="6E64F8A3" w:rsidR="00D64740" w:rsidRPr="009F449E" w:rsidRDefault="004F0793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beneficiario ai fini del raggiungimento del </w:t>
            </w:r>
            <w:r w:rsidRPr="00B5470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M5C2-10, in scadenza al Q1 2026, preso in carico come “beneficiario dei servizi abitativi” e immesso nella disponibilità di un alloggio temporaneo</w:t>
            </w:r>
            <w:r w:rsidR="00B547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F050B2">
              <w:rPr>
                <w:rFonts w:ascii="Garamond" w:eastAsia="Calibri" w:hAnsi="Garamond" w:cs="Times New Roman"/>
                <w:sz w:val="24"/>
                <w:szCs w:val="24"/>
              </w:rPr>
              <w:t xml:space="preserve"> prima del decorso del termine di 6 mesi</w:t>
            </w:r>
            <w:r w:rsidR="00B5470D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r w:rsidRPr="00F050B2">
              <w:rPr>
                <w:rFonts w:ascii="Garamond" w:eastAsia="Calibri" w:hAnsi="Garamond" w:cs="Times New Roman"/>
                <w:sz w:val="24"/>
                <w:szCs w:val="24"/>
              </w:rPr>
              <w:t>ha cessato di usufruire di detta struttura, avendo trovato una soluzione alloggiativa stabile</w:t>
            </w:r>
            <w:r w:rsidR="00B5470D">
              <w:rPr>
                <w:rFonts w:ascii="Garamond" w:eastAsia="Calibri" w:hAnsi="Garamond" w:cs="Times New Roman"/>
                <w:sz w:val="24"/>
                <w:szCs w:val="24"/>
              </w:rPr>
              <w:t>?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 xml:space="preserve"> Ciononostante, è da considerarsi beneficiario secondo quanto disposto dalla nota</w:t>
            </w:r>
            <w:r w:rsidR="00B5470D">
              <w:rPr>
                <w:rFonts w:ascii="Garamond" w:eastAsia="Calibri" w:hAnsi="Garamond" w:cs="Times New Roman"/>
                <w:sz w:val="24"/>
                <w:szCs w:val="24"/>
              </w:rPr>
              <w:t xml:space="preserve"> UdM PNRR-MLPS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 xml:space="preserve"> n. 1256 del 3 giugno 2024?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7E16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DEC9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AA9C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055C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7208F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7F2CAA0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F84402F" w14:textId="3D82D866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completamento delle attività </w:t>
            </w:r>
            <w:r w:rsidR="00B547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7A0619A" w14:textId="3956B3A9" w:rsidR="00D64740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1F16557" w14:textId="446D69CB" w:rsidR="006D3AA4" w:rsidRPr="00E02355" w:rsidRDefault="006D3AA4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La nota n. 1256 del 3 giugno 2024;</w:t>
            </w:r>
          </w:p>
          <w:p w14:paraId="6F3395D0" w14:textId="77777777" w:rsid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proofErr w:type="spellStart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proofErr w:type="spellEnd"/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CID</w:t>
            </w:r>
          </w:p>
          <w:p w14:paraId="71C8FE90" w14:textId="06703175" w:rsidR="00B5470D" w:rsidRPr="00E02355" w:rsidRDefault="00B5470D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6DADABD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2F83E114" w14:textId="77777777" w:rsidTr="00156285">
        <w:trPr>
          <w:trHeight w:val="2324"/>
        </w:trPr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D3593" w14:textId="48F00FB2" w:rsidR="00D64740" w:rsidRDefault="00CB1FA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99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D399E" w14:textId="440ECE25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compilata e sottoscritta la sezione “</w:t>
            </w:r>
            <w:r w:rsidRPr="004B55B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Informativa sul conferimento e trattamento dei dati personali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84DEB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2235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80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CC06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D665E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CD3CE" w14:textId="5955AFE3" w:rsidR="00DD5911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compilazione della relativa sezione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allegata al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Progetto personalizzato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all’Attestazione </w:t>
            </w:r>
            <w:r w:rsidR="00E068CA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previste nel progetto personalizzat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</w:p>
        </w:tc>
        <w:tc>
          <w:tcPr>
            <w:tcW w:w="161" w:type="dxa"/>
            <w:vAlign w:val="center"/>
          </w:tcPr>
          <w:p w14:paraId="22764D6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B6BC9A7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234C8EC2" w:rsidR="00D64740" w:rsidRDefault="003E393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3600073E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relativa al progetto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è stata acquisita ed è conservata in fascicoli cartacei o informatici presso l’Ufficio competente,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76A68" w14:textId="383C0C2D" w:rsidR="00DD5911" w:rsidRPr="00065E7B" w:rsidRDefault="00DD5911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F0C9C3B" w14:textId="77777777" w:rsidTr="00CD5338">
        <w:trPr>
          <w:trHeight w:val="454"/>
        </w:trPr>
        <w:tc>
          <w:tcPr>
            <w:tcW w:w="14459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D64740" w:rsidRPr="00222491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A2862B" w14:textId="77777777" w:rsidTr="00CB1FA4">
        <w:trPr>
          <w:trHeight w:val="1550"/>
        </w:trPr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5AFD8C44" w:rsidR="00D64740" w:rsidRDefault="003E393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99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75EC89C" w14:textId="77777777" w:rsidTr="00CB1FA4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7802DF45" w:rsidR="00D64740" w:rsidRDefault="003E393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pubblicazione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B10FD39" w14:textId="77777777" w:rsidTr="00CB1FA4">
        <w:trPr>
          <w:trHeight w:val="1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23AD7766" w:rsidR="00D64740" w:rsidRDefault="003E393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  <w:r w:rsid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9F2A2FE" w14:textId="77777777" w:rsidTr="00CB1FA4">
        <w:trPr>
          <w:trHeight w:val="37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7B593033" w:rsidR="00D64740" w:rsidRDefault="003E393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78998329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ReGiS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assenza di conflitto di interessi dei soggetti che a vario titolo hanno preso parte al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E2673"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D500673" w14:textId="77777777" w:rsidTr="00CB1FA4">
        <w:trPr>
          <w:trHeight w:val="2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0476F019" w:rsidR="00D64740" w:rsidRDefault="003E393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D337E2" w:rsidRDefault="00D337E2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 w:rsidR="00D337E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sono state acquisite e caricate in ReGiS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D64740" w:rsidRPr="00065E7B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titolarità effettiva dei Soggetti esecutori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6A1301" w14:textId="77777777" w:rsidTr="00CB1FA4">
        <w:trPr>
          <w:trHeight w:val="2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440F9D4C" w:rsidR="00D64740" w:rsidRDefault="003E393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E02355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A00A325" w14:textId="1A42B477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caricata sul sistema ReGiS</w:t>
            </w:r>
          </w:p>
        </w:tc>
        <w:tc>
          <w:tcPr>
            <w:tcW w:w="161" w:type="dxa"/>
            <w:vAlign w:val="center"/>
          </w:tcPr>
          <w:p w14:paraId="357FA858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54CEBC4" w14:textId="77777777" w:rsidTr="00CB1FA4">
        <w:trPr>
          <w:trHeight w:val="3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1E2DCC42" w:rsidR="00D64740" w:rsidRDefault="003E393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D64740" w:rsidRPr="00236FF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D64740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0E2673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applicabili al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E06CC2D" w14:textId="586CFC04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ReGiS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A22D6CA" w14:textId="77777777" w:rsidTr="00CD5338">
        <w:trPr>
          <w:gridAfter w:val="1"/>
          <w:wAfter w:w="161" w:type="dxa"/>
          <w:trHeight w:val="693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D64740" w:rsidRPr="00B03310" w14:paraId="701F2C59" w14:textId="77777777" w:rsidTr="00CD5338">
        <w:trPr>
          <w:gridAfter w:val="1"/>
          <w:wAfter w:w="161" w:type="dxa"/>
          <w:trHeight w:val="403"/>
        </w:trPr>
        <w:tc>
          <w:tcPr>
            <w:tcW w:w="84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64740" w:rsidRPr="00B03310" w14:paraId="78E06787" w14:textId="77777777" w:rsidTr="00CD5338">
        <w:trPr>
          <w:gridAfter w:val="1"/>
          <w:wAfter w:w="161" w:type="dxa"/>
          <w:trHeight w:val="403"/>
        </w:trPr>
        <w:tc>
          <w:tcPr>
            <w:tcW w:w="84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64740" w:rsidRPr="00B03310" w14:paraId="46782F1C" w14:textId="77777777" w:rsidTr="00CD5338">
        <w:trPr>
          <w:gridAfter w:val="1"/>
          <w:wAfter w:w="161" w:type="dxa"/>
          <w:trHeight w:val="370"/>
        </w:trPr>
        <w:tc>
          <w:tcPr>
            <w:tcW w:w="126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1702942E" w14:textId="77777777" w:rsidTr="00CD5338">
        <w:trPr>
          <w:gridAfter w:val="1"/>
          <w:wAfter w:w="161" w:type="dxa"/>
          <w:trHeight w:val="370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64740" w:rsidRPr="00B03310" w14:paraId="3FC71B32" w14:textId="77777777" w:rsidTr="005670E9">
        <w:trPr>
          <w:gridAfter w:val="1"/>
          <w:wAfter w:w="161" w:type="dxa"/>
          <w:trHeight w:val="2567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0A2563BA" w14:textId="77777777" w:rsidTr="00CB1FA4">
        <w:trPr>
          <w:gridAfter w:val="1"/>
          <w:wAfter w:w="161" w:type="dxa"/>
          <w:trHeight w:val="3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386F3" w14:textId="77777777" w:rsidR="005670E9" w:rsidRDefault="005670E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2FCFA63A" w14:textId="77777777" w:rsidR="005670E9" w:rsidRDefault="005670E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551C1F91" w14:textId="77777777" w:rsidR="005670E9" w:rsidRDefault="005670E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518B3E82" w14:textId="77777777" w:rsidR="005670E9" w:rsidRDefault="005670E9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2A93C7C4" w14:textId="32F3E454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B5513F2" w14:textId="77777777" w:rsidTr="00CD5338">
        <w:trPr>
          <w:gridAfter w:val="1"/>
          <w:wAfter w:w="161" w:type="dxa"/>
          <w:trHeight w:val="373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64740" w:rsidRPr="00B03310" w14:paraId="0B300EB0" w14:textId="77777777" w:rsidTr="00CD5338">
        <w:trPr>
          <w:gridAfter w:val="1"/>
          <w:wAfter w:w="161" w:type="dxa"/>
          <w:trHeight w:val="3337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478DCF24" w14:textId="77777777" w:rsidTr="00CB1FA4">
        <w:trPr>
          <w:gridAfter w:val="1"/>
          <w:wAfter w:w="161" w:type="dxa"/>
          <w:trHeight w:val="3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D6474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D337E2" w:rsidRPr="00B03310" w:rsidRDefault="00D337E2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760D6BB6" w14:textId="77777777" w:rsidTr="00CD5338">
        <w:trPr>
          <w:gridAfter w:val="1"/>
          <w:wAfter w:w="161" w:type="dxa"/>
          <w:trHeight w:val="680"/>
        </w:trPr>
        <w:tc>
          <w:tcPr>
            <w:tcW w:w="5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1C89565B" w14:textId="77777777" w:rsidTr="00CD5338">
        <w:trPr>
          <w:gridAfter w:val="1"/>
          <w:wAfter w:w="161" w:type="dxa"/>
          <w:trHeight w:val="1077"/>
        </w:trPr>
        <w:tc>
          <w:tcPr>
            <w:tcW w:w="5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2D62381A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D64740" w:rsidRPr="00B03310" w:rsidRDefault="00D64740" w:rsidP="00D337E2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5DD03B3" w14:textId="77777777" w:rsidTr="00CB1FA4">
        <w:trPr>
          <w:gridAfter w:val="1"/>
          <w:wAfter w:w="161" w:type="dxa"/>
          <w:trHeight w:val="12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71C10" w14:textId="77777777" w:rsidR="00965D8A" w:rsidRDefault="00965D8A" w:rsidP="00482081">
      <w:pPr>
        <w:spacing w:after="0" w:line="240" w:lineRule="auto"/>
      </w:pPr>
      <w:r>
        <w:separator/>
      </w:r>
    </w:p>
  </w:endnote>
  <w:endnote w:type="continuationSeparator" w:id="0">
    <w:p w14:paraId="4D07C2AA" w14:textId="77777777" w:rsidR="00965D8A" w:rsidRDefault="00965D8A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0A221" w14:textId="77777777" w:rsidR="00965D8A" w:rsidRDefault="00965D8A" w:rsidP="00482081">
      <w:pPr>
        <w:spacing w:after="0" w:line="240" w:lineRule="auto"/>
      </w:pPr>
      <w:r>
        <w:separator/>
      </w:r>
    </w:p>
  </w:footnote>
  <w:footnote w:type="continuationSeparator" w:id="0">
    <w:p w14:paraId="6C1C859E" w14:textId="77777777" w:rsidR="00965D8A" w:rsidRDefault="00965D8A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19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29"/>
  </w:num>
  <w:num w:numId="6" w16cid:durableId="519010792">
    <w:abstractNumId w:val="27"/>
  </w:num>
  <w:num w:numId="7" w16cid:durableId="686760442">
    <w:abstractNumId w:val="14"/>
  </w:num>
  <w:num w:numId="8" w16cid:durableId="659189994">
    <w:abstractNumId w:val="25"/>
  </w:num>
  <w:num w:numId="9" w16cid:durableId="63531205">
    <w:abstractNumId w:val="4"/>
  </w:num>
  <w:num w:numId="10" w16cid:durableId="2115513435">
    <w:abstractNumId w:val="32"/>
  </w:num>
  <w:num w:numId="11" w16cid:durableId="1228882479">
    <w:abstractNumId w:val="38"/>
  </w:num>
  <w:num w:numId="12" w16cid:durableId="1507793010">
    <w:abstractNumId w:val="35"/>
  </w:num>
  <w:num w:numId="13" w16cid:durableId="635918799">
    <w:abstractNumId w:val="24"/>
  </w:num>
  <w:num w:numId="14" w16cid:durableId="571932964">
    <w:abstractNumId w:val="21"/>
  </w:num>
  <w:num w:numId="15" w16cid:durableId="233514468">
    <w:abstractNumId w:val="3"/>
  </w:num>
  <w:num w:numId="16" w16cid:durableId="1113940811">
    <w:abstractNumId w:val="30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4"/>
  </w:num>
  <w:num w:numId="20" w16cid:durableId="1639725741">
    <w:abstractNumId w:val="23"/>
  </w:num>
  <w:num w:numId="21" w16cid:durableId="760488988">
    <w:abstractNumId w:val="36"/>
  </w:num>
  <w:num w:numId="22" w16cid:durableId="489715771">
    <w:abstractNumId w:val="17"/>
  </w:num>
  <w:num w:numId="23" w16cid:durableId="1655061331">
    <w:abstractNumId w:val="20"/>
  </w:num>
  <w:num w:numId="24" w16cid:durableId="190579509">
    <w:abstractNumId w:val="40"/>
  </w:num>
  <w:num w:numId="25" w16cid:durableId="49039191">
    <w:abstractNumId w:val="26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1"/>
  </w:num>
  <w:num w:numId="29" w16cid:durableId="345598631">
    <w:abstractNumId w:val="37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39"/>
  </w:num>
  <w:num w:numId="35" w16cid:durableId="1730496607">
    <w:abstractNumId w:val="22"/>
  </w:num>
  <w:num w:numId="36" w16cid:durableId="1970629992">
    <w:abstractNumId w:val="5"/>
  </w:num>
  <w:num w:numId="37" w16cid:durableId="1937907233">
    <w:abstractNumId w:val="28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3"/>
  </w:num>
  <w:num w:numId="41" w16cid:durableId="1244947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07FB7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56285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87604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939"/>
    <w:rsid w:val="003E3E11"/>
    <w:rsid w:val="003E3F35"/>
    <w:rsid w:val="003E49E7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793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0E9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3AA4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568DB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5D8A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695A"/>
    <w:rsid w:val="00A07273"/>
    <w:rsid w:val="00A073C1"/>
    <w:rsid w:val="00A10239"/>
    <w:rsid w:val="00A10616"/>
    <w:rsid w:val="00A10C9F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5470D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1FA4"/>
    <w:rsid w:val="00CB64B8"/>
    <w:rsid w:val="00CB716E"/>
    <w:rsid w:val="00CC06E6"/>
    <w:rsid w:val="00CC3EE9"/>
    <w:rsid w:val="00CD3D98"/>
    <w:rsid w:val="00CD409A"/>
    <w:rsid w:val="00CD5338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4C6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209A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1030</Words>
  <Characters>5875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2024-08-09T09:51:00Z</dcterms:created>
  <dcterms:modified xsi:type="dcterms:W3CDTF">2024-11-26T16:07:00Z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